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F6B5B43">
      <w:pPr>
        <w:pStyle w:val="2"/>
        <w:spacing w:line="600" w:lineRule="exact"/>
        <w:jc w:val="center"/>
        <w:rPr>
          <w:rFonts w:ascii="宋体" w:hAnsi="宋体" w:eastAsia="宋体" w:cs="宋体"/>
          <w:b/>
          <w:sz w:val="44"/>
          <w:szCs w:val="44"/>
        </w:rPr>
      </w:pPr>
      <w:bookmarkStart w:id="1" w:name="_GoBack"/>
      <w:bookmarkEnd w:id="1"/>
    </w:p>
    <w:p w14:paraId="41E22AC4">
      <w:pPr>
        <w:pStyle w:val="2"/>
        <w:spacing w:line="600" w:lineRule="exact"/>
        <w:jc w:val="center"/>
        <w:rPr>
          <w:rFonts w:ascii="宋体" w:hAnsi="宋体" w:eastAsia="宋体" w:cs="宋体"/>
          <w:b/>
          <w:sz w:val="44"/>
          <w:szCs w:val="44"/>
        </w:rPr>
      </w:pPr>
    </w:p>
    <w:p w14:paraId="40E1131D">
      <w:pPr>
        <w:pStyle w:val="2"/>
        <w:spacing w:line="600" w:lineRule="exact"/>
        <w:jc w:val="center"/>
        <w:rPr>
          <w:rFonts w:ascii="宋体" w:hAnsi="宋体" w:eastAsia="宋体" w:cs="宋体"/>
          <w:b/>
          <w:sz w:val="44"/>
          <w:szCs w:val="44"/>
        </w:rPr>
      </w:pPr>
    </w:p>
    <w:p w14:paraId="25261ABF">
      <w:pPr>
        <w:pStyle w:val="2"/>
        <w:spacing w:line="600" w:lineRule="exact"/>
        <w:jc w:val="center"/>
        <w:rPr>
          <w:rFonts w:ascii="宋体" w:hAnsi="宋体" w:eastAsia="宋体" w:cs="宋体"/>
          <w:b/>
          <w:sz w:val="44"/>
          <w:szCs w:val="44"/>
        </w:rPr>
      </w:pPr>
    </w:p>
    <w:p w14:paraId="789891EE">
      <w:pPr>
        <w:pStyle w:val="2"/>
        <w:spacing w:line="480" w:lineRule="auto"/>
        <w:ind w:firstLine="527"/>
        <w:jc w:val="center"/>
        <w:rPr>
          <w:rFonts w:ascii="宋体" w:hAnsi="宋体" w:eastAsia="宋体" w:cs="宋体"/>
          <w:b/>
          <w:sz w:val="52"/>
          <w:szCs w:val="52"/>
        </w:rPr>
      </w:pPr>
      <w:r>
        <w:rPr>
          <w:rFonts w:hint="eastAsia" w:ascii="宋体" w:hAnsi="宋体" w:eastAsia="宋体" w:cs="宋体"/>
          <w:b/>
          <w:sz w:val="52"/>
          <w:szCs w:val="52"/>
        </w:rPr>
        <w:t>沈阳市浑南区人民法院</w:t>
      </w:r>
    </w:p>
    <w:p w14:paraId="569EB6EE">
      <w:pPr>
        <w:pStyle w:val="2"/>
        <w:spacing w:line="480" w:lineRule="auto"/>
        <w:ind w:firstLine="527"/>
        <w:jc w:val="center"/>
        <w:rPr>
          <w:rFonts w:hint="eastAsia" w:ascii="宋体" w:hAnsi="宋体" w:eastAsia="宋体" w:cs="宋体"/>
          <w:b/>
          <w:sz w:val="44"/>
          <w:szCs w:val="44"/>
          <w:lang w:val="en-US" w:eastAsia="zh-CN"/>
        </w:rPr>
      </w:pPr>
      <w:r>
        <w:rPr>
          <w:rFonts w:hint="eastAsia" w:ascii="宋体" w:hAnsi="宋体" w:eastAsia="宋体" w:cs="宋体"/>
          <w:b/>
          <w:sz w:val="52"/>
          <w:szCs w:val="52"/>
        </w:rPr>
        <w:t>2021年部门预算</w:t>
      </w:r>
      <w:r>
        <w:rPr>
          <w:rFonts w:hint="eastAsia" w:ascii="宋体" w:hAnsi="宋体" w:eastAsia="宋体" w:cs="宋体"/>
          <w:b/>
          <w:sz w:val="52"/>
          <w:szCs w:val="52"/>
          <w:lang w:val="en-US" w:eastAsia="zh-CN"/>
        </w:rPr>
        <w:t xml:space="preserve"> </w:t>
      </w:r>
    </w:p>
    <w:p w14:paraId="3F2B5FB8">
      <w:pPr>
        <w:pStyle w:val="2"/>
        <w:spacing w:line="480" w:lineRule="auto"/>
        <w:jc w:val="center"/>
        <w:rPr>
          <w:rFonts w:ascii="宋体" w:hAnsi="宋体" w:eastAsia="宋体" w:cs="宋体"/>
          <w:b/>
          <w:sz w:val="44"/>
          <w:szCs w:val="44"/>
        </w:rPr>
      </w:pPr>
      <w:r>
        <w:rPr>
          <w:rFonts w:hint="eastAsia" w:ascii="宋体" w:hAnsi="宋体" w:eastAsia="宋体"/>
          <w:b/>
          <w:sz w:val="52"/>
          <w:szCs w:val="52"/>
        </w:rPr>
        <w:t>（含“三公”经费预算）</w:t>
      </w:r>
    </w:p>
    <w:p w14:paraId="2E1B597B">
      <w:pPr>
        <w:pStyle w:val="2"/>
        <w:spacing w:line="600" w:lineRule="exact"/>
        <w:jc w:val="center"/>
        <w:rPr>
          <w:rFonts w:ascii="宋体" w:hAnsi="宋体" w:eastAsia="宋体" w:cs="宋体"/>
          <w:b/>
          <w:sz w:val="44"/>
          <w:szCs w:val="44"/>
        </w:rPr>
      </w:pPr>
    </w:p>
    <w:p w14:paraId="2263D77C">
      <w:pPr>
        <w:pStyle w:val="2"/>
        <w:spacing w:line="600" w:lineRule="exact"/>
        <w:jc w:val="center"/>
        <w:rPr>
          <w:rFonts w:ascii="宋体" w:hAnsi="宋体" w:eastAsia="宋体" w:cs="宋体"/>
          <w:b/>
          <w:sz w:val="44"/>
          <w:szCs w:val="44"/>
        </w:rPr>
      </w:pPr>
    </w:p>
    <w:p w14:paraId="140DBD5E">
      <w:pPr>
        <w:pStyle w:val="2"/>
        <w:spacing w:line="600" w:lineRule="exact"/>
        <w:jc w:val="center"/>
        <w:rPr>
          <w:rFonts w:ascii="宋体" w:hAnsi="宋体" w:eastAsia="宋体" w:cs="宋体"/>
          <w:b/>
          <w:sz w:val="44"/>
          <w:szCs w:val="44"/>
        </w:rPr>
      </w:pPr>
    </w:p>
    <w:p w14:paraId="43C172FB">
      <w:pPr>
        <w:pStyle w:val="2"/>
        <w:spacing w:line="600" w:lineRule="exact"/>
        <w:jc w:val="center"/>
        <w:rPr>
          <w:rFonts w:ascii="宋体" w:hAnsi="宋体" w:eastAsia="宋体" w:cs="宋体"/>
          <w:b/>
          <w:sz w:val="44"/>
          <w:szCs w:val="44"/>
        </w:rPr>
      </w:pPr>
    </w:p>
    <w:p w14:paraId="574CD28C">
      <w:pPr>
        <w:pStyle w:val="2"/>
        <w:spacing w:line="600" w:lineRule="exact"/>
        <w:jc w:val="center"/>
        <w:rPr>
          <w:rFonts w:ascii="宋体" w:hAnsi="宋体" w:eastAsia="宋体" w:cs="宋体"/>
          <w:b/>
          <w:sz w:val="44"/>
          <w:szCs w:val="44"/>
        </w:rPr>
      </w:pPr>
    </w:p>
    <w:p w14:paraId="60009D72">
      <w:pPr>
        <w:pStyle w:val="2"/>
        <w:spacing w:line="600" w:lineRule="exact"/>
        <w:jc w:val="center"/>
        <w:rPr>
          <w:rFonts w:ascii="宋体" w:hAnsi="宋体" w:eastAsia="宋体" w:cs="宋体"/>
          <w:b/>
          <w:sz w:val="44"/>
          <w:szCs w:val="44"/>
        </w:rPr>
      </w:pPr>
    </w:p>
    <w:p w14:paraId="5F7026FD">
      <w:pPr>
        <w:pStyle w:val="2"/>
        <w:spacing w:line="600" w:lineRule="exact"/>
        <w:jc w:val="center"/>
        <w:rPr>
          <w:rFonts w:ascii="宋体" w:hAnsi="宋体" w:eastAsia="宋体" w:cs="宋体"/>
          <w:b/>
          <w:sz w:val="44"/>
          <w:szCs w:val="44"/>
        </w:rPr>
      </w:pPr>
    </w:p>
    <w:p w14:paraId="4A490908">
      <w:pPr>
        <w:pStyle w:val="2"/>
        <w:spacing w:line="600" w:lineRule="exact"/>
        <w:jc w:val="center"/>
        <w:rPr>
          <w:rFonts w:ascii="宋体" w:hAnsi="宋体" w:eastAsia="宋体" w:cs="宋体"/>
          <w:sz w:val="44"/>
          <w:szCs w:val="44"/>
        </w:rPr>
      </w:pPr>
    </w:p>
    <w:p w14:paraId="207B9C23">
      <w:pPr>
        <w:pStyle w:val="2"/>
        <w:spacing w:line="600" w:lineRule="exact"/>
        <w:jc w:val="center"/>
        <w:rPr>
          <w:rFonts w:ascii="宋体" w:hAnsi="宋体" w:eastAsia="宋体" w:cs="宋体"/>
          <w:sz w:val="44"/>
          <w:szCs w:val="44"/>
        </w:rPr>
      </w:pPr>
    </w:p>
    <w:p w14:paraId="3BD54B4C">
      <w:pPr>
        <w:pStyle w:val="2"/>
        <w:spacing w:line="600" w:lineRule="exact"/>
        <w:jc w:val="center"/>
        <w:rPr>
          <w:rFonts w:ascii="宋体" w:hAnsi="宋体" w:eastAsia="宋体" w:cs="宋体"/>
          <w:b/>
          <w:sz w:val="44"/>
          <w:szCs w:val="44"/>
        </w:rPr>
      </w:pPr>
    </w:p>
    <w:p w14:paraId="4DA3F8DE">
      <w:pPr>
        <w:pStyle w:val="2"/>
        <w:spacing w:line="600" w:lineRule="exact"/>
        <w:jc w:val="center"/>
        <w:rPr>
          <w:rFonts w:ascii="宋体" w:hAnsi="宋体" w:eastAsia="宋体" w:cs="宋体"/>
          <w:b/>
          <w:sz w:val="44"/>
          <w:szCs w:val="44"/>
        </w:rPr>
      </w:pPr>
    </w:p>
    <w:p w14:paraId="0EB83DBA">
      <w:pPr>
        <w:pStyle w:val="2"/>
        <w:spacing w:line="600" w:lineRule="exact"/>
        <w:jc w:val="center"/>
        <w:rPr>
          <w:rFonts w:ascii="宋体" w:hAnsi="宋体" w:eastAsia="宋体" w:cs="宋体"/>
          <w:b/>
          <w:sz w:val="44"/>
          <w:szCs w:val="44"/>
        </w:rPr>
      </w:pPr>
    </w:p>
    <w:p w14:paraId="111B5D89">
      <w:pPr>
        <w:pStyle w:val="2"/>
        <w:spacing w:line="600" w:lineRule="exact"/>
        <w:ind w:firstLine="0"/>
        <w:rPr>
          <w:rFonts w:ascii="宋体" w:hAnsi="宋体" w:eastAsia="宋体" w:cs="宋体"/>
          <w:b/>
          <w:sz w:val="44"/>
          <w:szCs w:val="44"/>
        </w:rPr>
      </w:pPr>
    </w:p>
    <w:p w14:paraId="1CA766C6">
      <w:pPr>
        <w:pStyle w:val="2"/>
        <w:spacing w:line="600" w:lineRule="exact"/>
        <w:ind w:firstLine="0"/>
        <w:jc w:val="center"/>
        <w:rPr>
          <w:rFonts w:ascii="宋体" w:hAnsi="宋体" w:eastAsia="宋体" w:cs="宋体"/>
          <w:b/>
          <w:color w:val="000000"/>
          <w:sz w:val="44"/>
          <w:szCs w:val="44"/>
        </w:rPr>
      </w:pPr>
      <w:r>
        <w:rPr>
          <w:rFonts w:hint="eastAsia" w:ascii="宋体" w:hAnsi="宋体" w:eastAsia="宋体" w:cs="宋体"/>
          <w:b/>
          <w:color w:val="000000"/>
          <w:sz w:val="44"/>
          <w:szCs w:val="44"/>
        </w:rPr>
        <w:t>目  录</w:t>
      </w:r>
    </w:p>
    <w:p w14:paraId="7A933E85">
      <w:pPr>
        <w:pStyle w:val="2"/>
        <w:spacing w:line="600" w:lineRule="exact"/>
        <w:jc w:val="center"/>
        <w:rPr>
          <w:rFonts w:hAnsi="宋体" w:cs="宋体"/>
          <w:b/>
          <w:color w:val="000000"/>
          <w:sz w:val="52"/>
          <w:szCs w:val="52"/>
        </w:rPr>
      </w:pPr>
    </w:p>
    <w:p w14:paraId="0D55F003">
      <w:pPr>
        <w:pStyle w:val="2"/>
        <w:spacing w:line="700" w:lineRule="exact"/>
        <w:ind w:firstLine="0"/>
        <w:rPr>
          <w:rFonts w:ascii="楷体_GB2312" w:eastAsia="楷体_GB2312"/>
          <w:b/>
          <w:szCs w:val="32"/>
        </w:rPr>
      </w:pPr>
      <w:r>
        <w:rPr>
          <w:rFonts w:hint="eastAsia" w:ascii="楷体_GB2312" w:eastAsia="楷体_GB2312"/>
          <w:b/>
          <w:szCs w:val="32"/>
        </w:rPr>
        <w:t>第一部分   浑南区法院概况</w:t>
      </w:r>
    </w:p>
    <w:p w14:paraId="2A6E9D96">
      <w:pPr>
        <w:pStyle w:val="2"/>
        <w:numPr>
          <w:ilvl w:val="0"/>
          <w:numId w:val="1"/>
        </w:numPr>
        <w:spacing w:line="700" w:lineRule="exact"/>
        <w:rPr>
          <w:szCs w:val="32"/>
        </w:rPr>
      </w:pPr>
      <w:r>
        <w:rPr>
          <w:rFonts w:hint="eastAsia"/>
          <w:szCs w:val="32"/>
        </w:rPr>
        <w:t>主要职责</w:t>
      </w:r>
    </w:p>
    <w:p w14:paraId="617DD280">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57E6CCC1">
      <w:pPr>
        <w:pStyle w:val="2"/>
        <w:spacing w:line="700" w:lineRule="exact"/>
        <w:ind w:firstLine="0"/>
        <w:rPr>
          <w:rFonts w:ascii="楷体_GB2312" w:eastAsia="楷体_GB2312"/>
          <w:b/>
          <w:szCs w:val="32"/>
        </w:rPr>
      </w:pPr>
      <w:r>
        <w:rPr>
          <w:rFonts w:hint="eastAsia" w:ascii="楷体_GB2312" w:eastAsia="楷体_GB2312"/>
          <w:b/>
          <w:szCs w:val="32"/>
        </w:rPr>
        <w:t>第二部分   浑南区法院2021年部门预算公开表</w:t>
      </w:r>
    </w:p>
    <w:p w14:paraId="0ACB8A96">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14:paraId="3C692C22">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14:paraId="6C45D4AA">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14:paraId="666C26A7">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14:paraId="60B26A1A">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14:paraId="65DC1B3C">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14:paraId="7E333C05">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14:paraId="440E5504">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14:paraId="2B109233">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14:paraId="4A8955E7">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14:paraId="0EC66B71">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14:paraId="3205C93C">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14:paraId="797C007F">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14:paraId="1948D0CD">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仿宋_GB2312" w:eastAsia="仿宋_GB2312" w:cs="仿宋_GB2312"/>
          <w:sz w:val="32"/>
          <w:szCs w:val="32"/>
          <w:highlight w:val="none"/>
        </w:rPr>
        <w:t>部门</w:t>
      </w:r>
      <w:r>
        <w:rPr>
          <w:rFonts w:hint="eastAsia" w:ascii="仿宋_GB2312" w:hAnsi="黑体" w:eastAsia="仿宋_GB2312"/>
          <w:sz w:val="32"/>
          <w:szCs w:val="32"/>
        </w:rPr>
        <w:t>整体绩效目标情况表</w:t>
      </w:r>
    </w:p>
    <w:p w14:paraId="4005ECB9">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14:paraId="01E106FB">
      <w:pPr>
        <w:pStyle w:val="2"/>
        <w:spacing w:line="700" w:lineRule="exact"/>
        <w:ind w:firstLine="0"/>
        <w:rPr>
          <w:rFonts w:ascii="楷体_GB2312" w:eastAsia="楷体_GB2312"/>
          <w:b/>
          <w:szCs w:val="32"/>
        </w:rPr>
      </w:pPr>
      <w:r>
        <w:rPr>
          <w:rFonts w:hint="eastAsia" w:ascii="楷体_GB2312" w:eastAsia="楷体_GB2312"/>
          <w:b/>
          <w:szCs w:val="32"/>
        </w:rPr>
        <w:t>第三部分   浑南区法院2021年部门预算情况说明</w:t>
      </w:r>
    </w:p>
    <w:p w14:paraId="74AB4B13">
      <w:pPr>
        <w:pStyle w:val="2"/>
        <w:spacing w:line="700" w:lineRule="exact"/>
        <w:ind w:firstLine="0"/>
        <w:rPr>
          <w:rFonts w:ascii="楷体_GB2312" w:eastAsia="楷体_GB2312"/>
          <w:b/>
          <w:szCs w:val="32"/>
        </w:rPr>
      </w:pPr>
      <w:r>
        <w:rPr>
          <w:rFonts w:hint="eastAsia" w:ascii="楷体_GB2312" w:eastAsia="楷体_GB2312"/>
          <w:b/>
          <w:szCs w:val="32"/>
        </w:rPr>
        <w:t>第四部分   名词解释</w:t>
      </w:r>
    </w:p>
    <w:p w14:paraId="2C3C20F3">
      <w:pPr>
        <w:pStyle w:val="2"/>
        <w:spacing w:afterLines="150" w:line="600" w:lineRule="exact"/>
        <w:ind w:firstLine="0"/>
        <w:jc w:val="center"/>
        <w:rPr>
          <w:rFonts w:ascii="宋体" w:hAnsi="宋体" w:eastAsia="宋体"/>
          <w:b/>
          <w:bCs/>
          <w:sz w:val="36"/>
          <w:szCs w:val="36"/>
        </w:rPr>
      </w:pPr>
      <w:r>
        <w:rPr>
          <w:rFonts w:hint="eastAsia" w:ascii="宋体" w:hAnsi="宋体" w:eastAsia="宋体"/>
          <w:b/>
          <w:sz w:val="36"/>
          <w:szCs w:val="36"/>
        </w:rPr>
        <w:t>第一部分  浑南区法院</w:t>
      </w:r>
      <w:r>
        <w:rPr>
          <w:rFonts w:hint="eastAsia" w:ascii="宋体" w:hAnsi="宋体" w:eastAsia="宋体"/>
          <w:b/>
          <w:bCs/>
          <w:sz w:val="36"/>
          <w:szCs w:val="36"/>
        </w:rPr>
        <w:t>概况</w:t>
      </w:r>
    </w:p>
    <w:p w14:paraId="59376D47">
      <w:pPr>
        <w:pStyle w:val="2"/>
        <w:spacing w:afterLines="50" w:line="600" w:lineRule="exact"/>
        <w:ind w:firstLine="640" w:firstLineChars="200"/>
        <w:rPr>
          <w:rFonts w:ascii="黑体" w:hAnsi="黑体" w:eastAsia="黑体"/>
          <w:b/>
          <w:bCs/>
          <w:szCs w:val="32"/>
        </w:rPr>
      </w:pPr>
      <w:r>
        <w:rPr>
          <w:rFonts w:hint="eastAsia" w:ascii="黑体" w:hAnsi="黑体" w:eastAsia="黑体"/>
          <w:b/>
          <w:bCs/>
          <w:szCs w:val="32"/>
        </w:rPr>
        <w:t>一、主要职责</w:t>
      </w:r>
    </w:p>
    <w:p w14:paraId="3680D1BC">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法院是司法(审判)机关，是负责审理案件，解决基本民事、行政、刑事案件纠纷的国家机构，拥有和行使调解的职能。</w:t>
      </w:r>
    </w:p>
    <w:p w14:paraId="110DD77A">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沈阳市浑南区人民法院，是基层人民法院，是四级审判机关中最基础的组成部分。主要职责为： </w:t>
      </w:r>
    </w:p>
    <w:p w14:paraId="5C75EDAC">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（一）依照法律规定，基层人民法院应当依法在职权范围内受理和审理自诉和公诉的刑事、民事、行政等第一审案件。 </w:t>
      </w:r>
    </w:p>
    <w:p w14:paraId="6A885EC6">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（二）依法行使司法执行权和司法决定权。 </w:t>
      </w:r>
    </w:p>
    <w:p w14:paraId="702B5A11">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（三）依法决定国家赔偿。 </w:t>
      </w:r>
    </w:p>
    <w:p w14:paraId="7A68D690">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（四）行使审判监督职能。 </w:t>
      </w:r>
    </w:p>
    <w:p w14:paraId="19770298">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（五）研究、征集对法律、法规、规章草案的意见；对案件审理中发现的问题提出司法建议。 </w:t>
      </w:r>
    </w:p>
    <w:p w14:paraId="70A2C87E">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（六）负责法院思想政治工作、教育培训工作；按照权限管理法官及其他人员；协助管理法院机构、人员编制工作；主管法院监察工作；</w:t>
      </w:r>
      <w:r>
        <w:rPr>
          <w:rFonts w:hint="eastAsia" w:ascii="仿宋_GB2312" w:hAnsi="微软雅黑" w:eastAsia="仿宋_GB2312" w:cs="Arial"/>
          <w:sz w:val="32"/>
          <w:szCs w:val="32"/>
        </w:rPr>
        <w:t>管理本院的经费、物质装备。</w:t>
      </w:r>
    </w:p>
    <w:p w14:paraId="180905C0">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（七）结合审判工作宣传法制，教育公民自觉遵守宪法和法律。 </w:t>
      </w:r>
    </w:p>
    <w:p w14:paraId="50E603C4">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（八）协调、管理、监督人民陪审员和调解员的各项工作。 </w:t>
      </w:r>
    </w:p>
    <w:p w14:paraId="0C27D44C">
      <w:pPr>
        <w:autoSpaceDN w:val="0"/>
        <w:spacing w:line="600" w:lineRule="exact"/>
        <w:ind w:firstLine="640" w:firstLineChars="200"/>
        <w:rPr>
          <w:rFonts w:ascii="仿宋_GB2312" w:eastAsia="仿宋_GB2312"/>
          <w:sz w:val="32"/>
          <w:szCs w:val="32"/>
        </w:rPr>
      </w:pPr>
      <w:r>
        <w:rPr>
          <w:rFonts w:hint="eastAsia" w:ascii="仿宋_GB2312" w:eastAsia="仿宋_GB2312"/>
          <w:sz w:val="32"/>
          <w:szCs w:val="32"/>
        </w:rPr>
        <w:t>（九）承办其他应由基层法院负责的工作。</w:t>
      </w:r>
    </w:p>
    <w:p w14:paraId="73E19AA2">
      <w:pPr>
        <w:ind w:firstLine="1280" w:firstLineChars="400"/>
        <w:jc w:val="left"/>
        <w:rPr>
          <w:rFonts w:ascii="黑体" w:eastAsia="黑体"/>
          <w:sz w:val="32"/>
          <w:szCs w:val="32"/>
        </w:rPr>
      </w:pPr>
      <w:r>
        <w:rPr>
          <w:rFonts w:hint="eastAsia" w:ascii="黑体" w:eastAsia="黑体"/>
          <w:sz w:val="32"/>
          <w:szCs w:val="32"/>
        </w:rPr>
        <w:t>二、部门预算单位构成</w:t>
      </w:r>
    </w:p>
    <w:p w14:paraId="629CE290">
      <w:pPr>
        <w:ind w:firstLine="1280" w:firstLineChars="400"/>
        <w:jc w:val="left"/>
        <w:rPr>
          <w:rFonts w:ascii="仿宋_GB2312" w:eastAsia="仿宋_GB2312"/>
          <w:sz w:val="32"/>
          <w:szCs w:val="32"/>
        </w:rPr>
      </w:pPr>
      <w:r>
        <w:rPr>
          <w:rFonts w:hint="eastAsia" w:ascii="仿宋_GB2312" w:eastAsia="仿宋_GB2312"/>
          <w:sz w:val="32"/>
          <w:szCs w:val="32"/>
        </w:rPr>
        <w:t>纳入浑南区法院2021年部门预算编制范围的预算单位包括：</w:t>
      </w:r>
    </w:p>
    <w:p w14:paraId="1B26A75B">
      <w:pPr>
        <w:autoSpaceDN w:val="0"/>
        <w:spacing w:line="600" w:lineRule="exact"/>
        <w:ind w:firstLine="1280" w:firstLineChars="400"/>
        <w:rPr>
          <w:rFonts w:ascii="仿宋_GB2312" w:eastAsia="仿宋_GB2312"/>
          <w:sz w:val="32"/>
          <w:szCs w:val="32"/>
        </w:rPr>
      </w:pPr>
      <w:r>
        <w:rPr>
          <w:rFonts w:hint="eastAsia" w:ascii="仿宋_GB2312" w:eastAsia="仿宋_GB2312"/>
          <w:sz w:val="32"/>
          <w:szCs w:val="32"/>
        </w:rPr>
        <w:t>1、沈阳市浑南区人民法院本级</w:t>
      </w:r>
    </w:p>
    <w:p w14:paraId="0D4CA880">
      <w:pPr>
        <w:autoSpaceDN w:val="0"/>
        <w:spacing w:line="600" w:lineRule="exact"/>
        <w:ind w:firstLine="1280" w:firstLineChars="400"/>
        <w:rPr>
          <w:rFonts w:ascii="仿宋_GB2312" w:eastAsia="仿宋_GB2312"/>
          <w:sz w:val="32"/>
          <w:szCs w:val="32"/>
        </w:rPr>
      </w:pPr>
    </w:p>
    <w:p w14:paraId="6369A9A0">
      <w:pPr>
        <w:autoSpaceDN w:val="0"/>
        <w:spacing w:line="600" w:lineRule="exact"/>
        <w:ind w:firstLine="1280" w:firstLineChars="400"/>
        <w:rPr>
          <w:rFonts w:ascii="仿宋_GB2312" w:eastAsia="仿宋_GB2312"/>
          <w:sz w:val="32"/>
          <w:szCs w:val="32"/>
        </w:rPr>
      </w:pPr>
    </w:p>
    <w:p w14:paraId="38298479">
      <w:pPr>
        <w:autoSpaceDN w:val="0"/>
        <w:spacing w:line="600" w:lineRule="exact"/>
        <w:ind w:firstLine="1280" w:firstLineChars="400"/>
        <w:rPr>
          <w:rFonts w:ascii="仿宋_GB2312" w:eastAsia="仿宋_GB2312"/>
          <w:sz w:val="32"/>
          <w:szCs w:val="32"/>
        </w:rPr>
      </w:pPr>
    </w:p>
    <w:p w14:paraId="4589C06D">
      <w:pPr>
        <w:autoSpaceDN w:val="0"/>
        <w:spacing w:line="600" w:lineRule="exact"/>
        <w:ind w:firstLine="1280" w:firstLineChars="400"/>
        <w:rPr>
          <w:rFonts w:ascii="仿宋_GB2312" w:eastAsia="仿宋_GB2312"/>
          <w:sz w:val="32"/>
          <w:szCs w:val="32"/>
        </w:rPr>
      </w:pPr>
    </w:p>
    <w:p w14:paraId="73454B46">
      <w:pPr>
        <w:autoSpaceDN w:val="0"/>
        <w:spacing w:line="600" w:lineRule="exact"/>
        <w:ind w:firstLine="1280" w:firstLineChars="400"/>
        <w:rPr>
          <w:rFonts w:ascii="仿宋_GB2312" w:eastAsia="仿宋_GB2312"/>
          <w:sz w:val="32"/>
          <w:szCs w:val="32"/>
        </w:rPr>
      </w:pPr>
    </w:p>
    <w:p w14:paraId="381D902F">
      <w:pPr>
        <w:autoSpaceDN w:val="0"/>
        <w:spacing w:line="600" w:lineRule="exact"/>
        <w:ind w:firstLine="1280" w:firstLineChars="400"/>
        <w:rPr>
          <w:rFonts w:ascii="仿宋_GB2312" w:eastAsia="仿宋_GB2312"/>
          <w:sz w:val="32"/>
          <w:szCs w:val="32"/>
        </w:rPr>
      </w:pPr>
    </w:p>
    <w:p w14:paraId="12F8AFD2">
      <w:pPr>
        <w:autoSpaceDN w:val="0"/>
        <w:spacing w:line="600" w:lineRule="exact"/>
        <w:ind w:firstLine="1280" w:firstLineChars="400"/>
        <w:rPr>
          <w:rFonts w:ascii="仿宋_GB2312" w:eastAsia="仿宋_GB2312"/>
          <w:sz w:val="32"/>
          <w:szCs w:val="32"/>
        </w:rPr>
      </w:pPr>
    </w:p>
    <w:p w14:paraId="09C20A85">
      <w:pPr>
        <w:autoSpaceDN w:val="0"/>
        <w:spacing w:line="600" w:lineRule="exact"/>
        <w:ind w:firstLine="1280" w:firstLineChars="400"/>
        <w:rPr>
          <w:rFonts w:ascii="仿宋_GB2312" w:eastAsia="仿宋_GB2312"/>
          <w:sz w:val="32"/>
          <w:szCs w:val="32"/>
        </w:rPr>
      </w:pPr>
    </w:p>
    <w:p w14:paraId="77B7AA0B">
      <w:pPr>
        <w:autoSpaceDN w:val="0"/>
        <w:spacing w:line="600" w:lineRule="exact"/>
        <w:ind w:firstLine="1280" w:firstLineChars="400"/>
        <w:rPr>
          <w:rFonts w:ascii="仿宋_GB2312" w:eastAsia="仿宋_GB2312"/>
          <w:sz w:val="32"/>
          <w:szCs w:val="32"/>
        </w:rPr>
      </w:pPr>
    </w:p>
    <w:p w14:paraId="78A57532">
      <w:pPr>
        <w:autoSpaceDN w:val="0"/>
        <w:spacing w:line="600" w:lineRule="exact"/>
        <w:ind w:firstLine="1280" w:firstLineChars="400"/>
        <w:rPr>
          <w:rFonts w:ascii="仿宋_GB2312" w:eastAsia="仿宋_GB2312"/>
          <w:sz w:val="32"/>
          <w:szCs w:val="32"/>
        </w:rPr>
      </w:pPr>
    </w:p>
    <w:p w14:paraId="6FDA88E0">
      <w:pPr>
        <w:autoSpaceDN w:val="0"/>
        <w:spacing w:line="600" w:lineRule="exact"/>
        <w:ind w:firstLine="1280" w:firstLineChars="400"/>
        <w:rPr>
          <w:rFonts w:ascii="仿宋_GB2312" w:eastAsia="仿宋_GB2312"/>
          <w:sz w:val="32"/>
          <w:szCs w:val="32"/>
        </w:rPr>
      </w:pPr>
    </w:p>
    <w:p w14:paraId="041FDB81">
      <w:pPr>
        <w:autoSpaceDN w:val="0"/>
        <w:spacing w:line="600" w:lineRule="exact"/>
        <w:ind w:firstLine="1280" w:firstLineChars="400"/>
        <w:rPr>
          <w:rFonts w:ascii="仿宋_GB2312" w:eastAsia="仿宋_GB2312"/>
          <w:sz w:val="32"/>
          <w:szCs w:val="32"/>
        </w:rPr>
      </w:pPr>
    </w:p>
    <w:p w14:paraId="1C1FA971">
      <w:pPr>
        <w:autoSpaceDN w:val="0"/>
        <w:spacing w:line="600" w:lineRule="exact"/>
        <w:ind w:firstLine="1280" w:firstLineChars="400"/>
        <w:rPr>
          <w:rFonts w:ascii="仿宋_GB2312" w:eastAsia="仿宋_GB2312"/>
          <w:sz w:val="32"/>
          <w:szCs w:val="32"/>
        </w:rPr>
      </w:pPr>
    </w:p>
    <w:p w14:paraId="566E5EE5">
      <w:pPr>
        <w:autoSpaceDN w:val="0"/>
        <w:spacing w:line="600" w:lineRule="exact"/>
        <w:ind w:firstLine="1280" w:firstLineChars="400"/>
        <w:rPr>
          <w:rFonts w:ascii="仿宋_GB2312" w:eastAsia="仿宋_GB2312"/>
          <w:sz w:val="32"/>
          <w:szCs w:val="32"/>
        </w:rPr>
      </w:pPr>
    </w:p>
    <w:p w14:paraId="1465E32C">
      <w:pPr>
        <w:autoSpaceDN w:val="0"/>
        <w:spacing w:line="600" w:lineRule="exact"/>
        <w:ind w:firstLine="1280" w:firstLineChars="400"/>
        <w:rPr>
          <w:rFonts w:ascii="仿宋_GB2312" w:eastAsia="仿宋_GB2312"/>
          <w:sz w:val="32"/>
          <w:szCs w:val="32"/>
        </w:rPr>
      </w:pPr>
    </w:p>
    <w:p w14:paraId="561943EC">
      <w:pPr>
        <w:pStyle w:val="2"/>
        <w:keepNext w:val="0"/>
        <w:keepLines w:val="0"/>
        <w:pageBreakBefore/>
        <w:widowControl w:val="0"/>
        <w:kinsoku/>
        <w:wordWrap/>
        <w:overflowPunct/>
        <w:topLinePunct w:val="0"/>
        <w:autoSpaceDE/>
        <w:autoSpaceDN/>
        <w:bidi w:val="0"/>
        <w:adjustRightInd/>
        <w:snapToGrid/>
        <w:spacing w:line="600" w:lineRule="exact"/>
        <w:ind w:firstLine="0"/>
        <w:jc w:val="center"/>
        <w:textAlignment w:val="auto"/>
        <w:rPr>
          <w:rFonts w:ascii="宋体" w:hAnsi="宋体" w:eastAsia="宋体"/>
          <w:b/>
          <w:sz w:val="36"/>
          <w:szCs w:val="36"/>
        </w:rPr>
      </w:pPr>
      <w:r>
        <w:rPr>
          <w:rFonts w:hint="eastAsia" w:ascii="宋体" w:hAnsi="宋体" w:eastAsia="宋体"/>
          <w:b/>
          <w:sz w:val="36"/>
          <w:szCs w:val="36"/>
        </w:rPr>
        <w:t>第二部分  浑南区法院2021年部门预算公开表</w:t>
      </w:r>
    </w:p>
    <w:p w14:paraId="58DCCE95">
      <w:pPr>
        <w:autoSpaceDN w:val="0"/>
        <w:spacing w:line="600" w:lineRule="exact"/>
        <w:ind w:firstLine="1280" w:firstLineChars="400"/>
        <w:rPr>
          <w:rFonts w:ascii="仿宋_GB2312" w:eastAsia="仿宋_GB2312"/>
          <w:sz w:val="32"/>
          <w:szCs w:val="32"/>
        </w:rPr>
        <w:sectPr>
          <w:headerReference r:id="rId3" w:type="default"/>
          <w:footerReference r:id="rId4" w:type="default"/>
          <w:footerReference r:id="rId5" w:type="even"/>
          <w:pgSz w:w="11906" w:h="16838"/>
          <w:pgMar w:top="2098" w:right="1474" w:bottom="1928" w:left="1531" w:header="720" w:footer="720" w:gutter="0"/>
          <w:cols w:space="720" w:num="1"/>
          <w:docGrid w:type="linesAndChars" w:linePitch="286" w:charSpace="0"/>
        </w:sectPr>
      </w:pPr>
    </w:p>
    <w:p w14:paraId="01F557E7">
      <w:pPr>
        <w:pStyle w:val="2"/>
        <w:spacing w:line="600" w:lineRule="exact"/>
        <w:ind w:firstLine="0"/>
        <w:jc w:val="center"/>
        <w:rPr>
          <w:rFonts w:ascii="宋体" w:hAnsi="宋体" w:eastAsia="宋体"/>
          <w:b/>
          <w:sz w:val="36"/>
          <w:szCs w:val="36"/>
        </w:rPr>
      </w:pPr>
      <w:bookmarkStart w:id="0" w:name="RANGE!A1:K37"/>
      <w:bookmarkEnd w:id="0"/>
      <w:r>
        <w:rPr>
          <w:rFonts w:hint="eastAsia" w:ascii="宋体" w:hAnsi="宋体" w:eastAsia="宋体"/>
          <w:b/>
          <w:sz w:val="36"/>
          <w:szCs w:val="36"/>
        </w:rPr>
        <w:t>第三部分  浑南区法院2021年部门预算情况说明</w:t>
      </w:r>
    </w:p>
    <w:p w14:paraId="5CD91B5C">
      <w:pPr>
        <w:pStyle w:val="2"/>
        <w:spacing w:line="600" w:lineRule="exact"/>
        <w:ind w:firstLine="0"/>
        <w:jc w:val="center"/>
        <w:rPr>
          <w:rFonts w:ascii="宋体" w:hAnsi="宋体" w:eastAsia="宋体"/>
          <w:b/>
          <w:sz w:val="36"/>
          <w:szCs w:val="36"/>
        </w:rPr>
      </w:pPr>
    </w:p>
    <w:p w14:paraId="46EF95E2">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一、关于浑南区法院</w:t>
      </w:r>
      <w:r>
        <w:rPr>
          <w:rFonts w:ascii="黑体" w:hAnsi="宋体" w:eastAsia="黑体"/>
          <w:b/>
          <w:szCs w:val="32"/>
        </w:rPr>
        <w:t>20</w:t>
      </w:r>
      <w:r>
        <w:rPr>
          <w:rFonts w:hint="eastAsia" w:ascii="黑体" w:hAnsi="宋体" w:eastAsia="黑体"/>
          <w:b/>
          <w:szCs w:val="32"/>
        </w:rPr>
        <w:t>21年收支预算的总体说明</w:t>
      </w:r>
    </w:p>
    <w:p w14:paraId="3CB2CB1D">
      <w:pPr>
        <w:pStyle w:val="2"/>
        <w:spacing w:line="360" w:lineRule="auto"/>
        <w:ind w:firstLine="660"/>
        <w:rPr>
          <w:szCs w:val="32"/>
        </w:rPr>
      </w:pPr>
      <w:r>
        <w:rPr>
          <w:rFonts w:hint="eastAsia"/>
          <w:szCs w:val="32"/>
        </w:rPr>
        <w:t>按照综合预算的原则，浑南区</w:t>
      </w:r>
      <w:r>
        <w:rPr>
          <w:rFonts w:hint="eastAsia" w:hAnsi="宋体"/>
          <w:szCs w:val="32"/>
        </w:rPr>
        <w:t>法院</w:t>
      </w:r>
      <w:r>
        <w:rPr>
          <w:rFonts w:hint="eastAsia"/>
          <w:szCs w:val="32"/>
        </w:rPr>
        <w:t>所有收入和支出均纳入部门预算管理。收入包括：一般公共预算拨款收入、上级补助；支出包括：行政运行、一般行政管理事务、案件执行、其他法院支出、培训支出、基本养老保险、行政单位医疗、住房公积金等。浑南区法院</w:t>
      </w:r>
      <w:r>
        <w:rPr>
          <w:szCs w:val="32"/>
        </w:rPr>
        <w:t>20</w:t>
      </w:r>
      <w:r>
        <w:rPr>
          <w:rFonts w:hint="eastAsia"/>
          <w:szCs w:val="32"/>
        </w:rPr>
        <w:t>21年收支总预算7411.12万元,比2020年收支总预算7124.87万元增加了286.25万元，主要是由于2021年浑南区法院加强了在智慧法院建设、历史档案数字化建设等项目中的投入，使得项目支出有所增加。</w:t>
      </w:r>
    </w:p>
    <w:p w14:paraId="73C72B67">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二、关于浑南区法院</w:t>
      </w:r>
      <w:r>
        <w:rPr>
          <w:rFonts w:ascii="黑体" w:hAnsi="宋体" w:eastAsia="黑体"/>
          <w:b/>
          <w:szCs w:val="32"/>
        </w:rPr>
        <w:t>20</w:t>
      </w:r>
      <w:r>
        <w:rPr>
          <w:rFonts w:hint="eastAsia" w:ascii="黑体" w:hAnsi="宋体" w:eastAsia="黑体"/>
          <w:b/>
          <w:szCs w:val="32"/>
        </w:rPr>
        <w:t>21年“三公”经费预算情况说明</w:t>
      </w:r>
    </w:p>
    <w:p w14:paraId="055DA91C">
      <w:pPr>
        <w:pStyle w:val="2"/>
        <w:spacing w:line="360" w:lineRule="auto"/>
        <w:ind w:firstLine="660"/>
        <w:rPr>
          <w:szCs w:val="32"/>
        </w:rPr>
      </w:pPr>
      <w:r>
        <w:rPr>
          <w:szCs w:val="32"/>
        </w:rPr>
        <w:t>20</w:t>
      </w:r>
      <w:r>
        <w:rPr>
          <w:rFonts w:hint="eastAsia"/>
          <w:szCs w:val="32"/>
        </w:rPr>
        <w:t>21年浑南区</w:t>
      </w:r>
      <w:r>
        <w:rPr>
          <w:rFonts w:hint="eastAsia" w:hAnsi="宋体"/>
          <w:szCs w:val="32"/>
        </w:rPr>
        <w:t>法院</w:t>
      </w:r>
      <w:r>
        <w:rPr>
          <w:rFonts w:hint="eastAsia"/>
          <w:szCs w:val="32"/>
        </w:rPr>
        <w:t>“三公”经费预算安排数122万元，其中：因公出国（境）费0万元，公务接待费0万元，公务用车购置及运行费122万元</w:t>
      </w:r>
      <w:r>
        <w:rPr>
          <w:rFonts w:hint="eastAsia"/>
          <w:szCs w:val="32"/>
          <w:lang w:eastAsia="zh-CN"/>
        </w:rPr>
        <w:t>，其中公务用车购置</w:t>
      </w:r>
      <w:r>
        <w:rPr>
          <w:rFonts w:hint="eastAsia"/>
          <w:szCs w:val="32"/>
          <w:lang w:val="en-US" w:eastAsia="zh-CN"/>
        </w:rPr>
        <w:t>38万元、运行维护费84万元</w:t>
      </w:r>
      <w:r>
        <w:rPr>
          <w:rFonts w:hint="eastAsia"/>
          <w:szCs w:val="32"/>
        </w:rPr>
        <w:t>。2021年预算数比2020年预算数增加23.07</w:t>
      </w:r>
      <w:r>
        <w:rPr>
          <w:rFonts w:hint="eastAsia" w:hAnsi="宋体"/>
          <w:szCs w:val="32"/>
        </w:rPr>
        <w:t>万元，其中：公务接待费比2020年预算数减少0.93万元，主要是由于我院厉行节约,压缩公务接待费支出；公务用车购置及运行费比2020年预算数增加24万元，</w:t>
      </w:r>
      <w:r>
        <w:rPr>
          <w:rFonts w:hint="eastAsia" w:hAnsi="宋体"/>
          <w:szCs w:val="32"/>
          <w:lang w:eastAsia="zh-CN"/>
        </w:rPr>
        <w:t>其中</w:t>
      </w:r>
      <w:r>
        <w:rPr>
          <w:rFonts w:hint="eastAsia"/>
          <w:szCs w:val="32"/>
          <w:lang w:eastAsia="zh-CN"/>
        </w:rPr>
        <w:t>公务用车运行维护费减少</w:t>
      </w:r>
      <w:r>
        <w:rPr>
          <w:rFonts w:hint="eastAsia"/>
          <w:szCs w:val="32"/>
          <w:lang w:val="en-US" w:eastAsia="zh-CN"/>
        </w:rPr>
        <w:t>14万元，公务用车购置费增加38万元，</w:t>
      </w:r>
      <w:r>
        <w:rPr>
          <w:rFonts w:hint="eastAsia" w:hAnsi="宋体"/>
          <w:szCs w:val="32"/>
        </w:rPr>
        <w:t>主要是由于我院现用囚车已超过12年，为确保安全需更新，</w:t>
      </w:r>
      <w:r>
        <w:rPr>
          <w:rFonts w:hint="eastAsia"/>
          <w:szCs w:val="32"/>
        </w:rPr>
        <w:t>所以增加了公务用车购置费。</w:t>
      </w:r>
    </w:p>
    <w:p w14:paraId="1B836C63">
      <w:pPr>
        <w:spacing w:beforeLines="50" w:line="360" w:lineRule="auto"/>
        <w:ind w:firstLine="643" w:firstLineChars="200"/>
        <w:rPr>
          <w:rFonts w:ascii="黑体" w:hAnsi="黑体" w:eastAsia="黑体"/>
          <w:b/>
          <w:sz w:val="32"/>
          <w:szCs w:val="32"/>
        </w:rPr>
      </w:pPr>
      <w:r>
        <w:rPr>
          <w:rFonts w:hint="eastAsia" w:ascii="黑体" w:hAnsi="黑体" w:eastAsia="黑体"/>
          <w:b/>
          <w:sz w:val="32"/>
          <w:szCs w:val="32"/>
        </w:rPr>
        <w:t>三、其他重要事项的情况说明</w:t>
      </w:r>
    </w:p>
    <w:p w14:paraId="3073D5DD">
      <w:pPr>
        <w:spacing w:beforeLines="50" w:line="360" w:lineRule="auto"/>
        <w:ind w:firstLine="640" w:firstLineChars="200"/>
        <w:rPr>
          <w:rFonts w:ascii="楷体_GB2312" w:hAnsi="宋体" w:eastAsia="楷体_GB2312"/>
          <w:sz w:val="32"/>
          <w:szCs w:val="32"/>
        </w:rPr>
      </w:pPr>
      <w:r>
        <w:rPr>
          <w:rFonts w:hint="eastAsia" w:ascii="楷体_GB2312" w:hAnsi="宋体" w:eastAsia="楷体_GB2312"/>
          <w:sz w:val="32"/>
          <w:szCs w:val="32"/>
        </w:rPr>
        <w:t>（一）机关运行经费安排情况</w:t>
      </w:r>
    </w:p>
    <w:p w14:paraId="600DC030">
      <w:pPr>
        <w:pStyle w:val="2"/>
        <w:spacing w:before="50" w:line="360" w:lineRule="auto"/>
        <w:ind w:firstLine="640" w:firstLineChars="200"/>
        <w:rPr>
          <w:rFonts w:hAnsi="宋体"/>
          <w:szCs w:val="32"/>
        </w:rPr>
      </w:pPr>
      <w:r>
        <w:rPr>
          <w:rFonts w:hint="eastAsia" w:hAnsi="宋体"/>
          <w:szCs w:val="32"/>
        </w:rPr>
        <w:t>2021年浑南区法院的机关运行经费财政拨款预算261.69万元，比2020年预算269.15万元减少了7.46万元，下降3%。</w:t>
      </w:r>
    </w:p>
    <w:p w14:paraId="031A5E73">
      <w:pPr>
        <w:spacing w:before="50" w:line="360" w:lineRule="auto"/>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78323C3C">
      <w:pPr>
        <w:pStyle w:val="2"/>
        <w:spacing w:before="50" w:line="360" w:lineRule="auto"/>
        <w:ind w:firstLine="640" w:firstLineChars="200"/>
        <w:rPr>
          <w:rFonts w:hAnsi="宋体"/>
          <w:szCs w:val="32"/>
        </w:rPr>
      </w:pPr>
      <w:r>
        <w:rPr>
          <w:rFonts w:hint="eastAsia" w:hAnsi="宋体"/>
          <w:szCs w:val="32"/>
        </w:rPr>
        <w:t>2021年浑南区法院政府采购预算总额482万元，其中：政府采购货物预算482万元。</w:t>
      </w:r>
    </w:p>
    <w:p w14:paraId="0CE193D0">
      <w:pPr>
        <w:spacing w:line="360" w:lineRule="auto"/>
        <w:ind w:firstLine="646"/>
        <w:rPr>
          <w:rFonts w:ascii="仿宋_GB2312" w:hAnsi="宋体" w:eastAsia="仿宋_GB2312"/>
          <w:sz w:val="32"/>
          <w:szCs w:val="32"/>
        </w:rPr>
      </w:pPr>
      <w:r>
        <w:rPr>
          <w:rFonts w:hint="eastAsia" w:ascii="仿宋_GB2312" w:hAnsi="宋体" w:eastAsia="仿宋_GB2312"/>
          <w:sz w:val="32"/>
          <w:szCs w:val="32"/>
        </w:rPr>
        <w:t>（三）国有资产占有使用情况</w:t>
      </w:r>
    </w:p>
    <w:p w14:paraId="299C56B1">
      <w:pPr>
        <w:spacing w:line="360" w:lineRule="auto"/>
        <w:ind w:firstLine="646"/>
        <w:rPr>
          <w:rFonts w:ascii="仿宋_GB2312" w:hAnsi="宋体" w:eastAsia="仿宋_GB2312"/>
          <w:sz w:val="32"/>
          <w:szCs w:val="32"/>
        </w:rPr>
      </w:pPr>
      <w:r>
        <w:rPr>
          <w:rFonts w:hint="eastAsia" w:ascii="仿宋_GB2312" w:hAnsi="宋体" w:eastAsia="仿宋_GB2312"/>
          <w:sz w:val="32"/>
          <w:szCs w:val="32"/>
        </w:rPr>
        <w:t>截至2020年底，浑南区法院共有车辆28辆，均为一般执法执勤用车。没有单位价值200 万元以上大型设备。</w:t>
      </w:r>
    </w:p>
    <w:p w14:paraId="54DEDB8A">
      <w:pPr>
        <w:spacing w:line="360" w:lineRule="auto"/>
        <w:ind w:firstLine="645"/>
        <w:rPr>
          <w:rFonts w:ascii="仿宋_GB2312" w:hAnsi="宋体" w:eastAsia="仿宋_GB2312"/>
          <w:sz w:val="32"/>
          <w:szCs w:val="32"/>
        </w:rPr>
      </w:pPr>
      <w:r>
        <w:rPr>
          <w:rFonts w:hint="eastAsia" w:ascii="仿宋_GB2312" w:hAnsi="宋体" w:eastAsia="仿宋_GB2312"/>
          <w:sz w:val="32"/>
          <w:szCs w:val="32"/>
        </w:rPr>
        <w:t>2021年部门预算安排购置更新车辆1台，没有安排单位价值200 万元以上大型设备。</w:t>
      </w:r>
    </w:p>
    <w:p w14:paraId="07AEF5B1">
      <w:pPr>
        <w:spacing w:line="360" w:lineRule="auto"/>
        <w:ind w:firstLine="646"/>
        <w:rPr>
          <w:rFonts w:ascii="仿宋_GB2312" w:hAnsi="宋体" w:eastAsia="仿宋_GB2312"/>
          <w:sz w:val="32"/>
          <w:szCs w:val="32"/>
        </w:rPr>
      </w:pPr>
      <w:r>
        <w:rPr>
          <w:rFonts w:hint="eastAsia" w:ascii="仿宋_GB2312" w:hAnsi="宋体" w:eastAsia="仿宋_GB2312"/>
          <w:sz w:val="32"/>
          <w:szCs w:val="32"/>
        </w:rPr>
        <w:t>（四）绩效目标设置情况</w:t>
      </w:r>
    </w:p>
    <w:p w14:paraId="5797B8BC">
      <w:pPr>
        <w:spacing w:line="360" w:lineRule="auto"/>
        <w:ind w:firstLine="646"/>
        <w:rPr>
          <w:rFonts w:ascii="仿宋_GB2312" w:hAnsi="宋体" w:eastAsia="仿宋_GB2312"/>
          <w:sz w:val="32"/>
          <w:szCs w:val="32"/>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14:paraId="1913A5AB">
      <w:pPr>
        <w:spacing w:line="360" w:lineRule="auto"/>
        <w:ind w:firstLine="646"/>
        <w:rPr>
          <w:rFonts w:ascii="仿宋_GB2312" w:hAnsi="宋体" w:eastAsia="仿宋_GB2312"/>
          <w:sz w:val="32"/>
          <w:szCs w:val="32"/>
        </w:rPr>
      </w:pPr>
    </w:p>
    <w:p w14:paraId="4F8AA9C1">
      <w:pPr>
        <w:spacing w:line="360" w:lineRule="auto"/>
        <w:ind w:firstLine="646"/>
        <w:rPr>
          <w:rFonts w:ascii="仿宋_GB2312" w:hAnsi="宋体" w:eastAsia="仿宋_GB2312"/>
          <w:sz w:val="32"/>
          <w:szCs w:val="32"/>
        </w:rPr>
      </w:pPr>
    </w:p>
    <w:p w14:paraId="59ACF21F">
      <w:pPr>
        <w:spacing w:line="360" w:lineRule="auto"/>
        <w:ind w:firstLine="646"/>
        <w:rPr>
          <w:rFonts w:ascii="仿宋_GB2312" w:hAnsi="宋体" w:eastAsia="仿宋_GB2312"/>
          <w:sz w:val="32"/>
          <w:szCs w:val="32"/>
        </w:rPr>
      </w:pPr>
    </w:p>
    <w:p w14:paraId="6DEF03FC">
      <w:pPr>
        <w:pStyle w:val="2"/>
        <w:spacing w:line="600" w:lineRule="exact"/>
        <w:ind w:firstLine="524" w:firstLineChars="145"/>
        <w:jc w:val="center"/>
        <w:rPr>
          <w:rFonts w:ascii="宋体" w:hAnsi="宋体" w:eastAsia="宋体"/>
          <w:b/>
          <w:sz w:val="36"/>
          <w:szCs w:val="36"/>
        </w:rPr>
      </w:pPr>
      <w:r>
        <w:rPr>
          <w:rFonts w:hint="eastAsia" w:ascii="宋体" w:hAnsi="宋体" w:eastAsia="宋体"/>
          <w:b/>
          <w:sz w:val="36"/>
          <w:szCs w:val="36"/>
        </w:rPr>
        <w:t>第四部分</w:t>
      </w:r>
      <w:r>
        <w:rPr>
          <w:rFonts w:ascii="宋体" w:hAnsi="宋体" w:eastAsia="宋体"/>
          <w:b/>
          <w:sz w:val="36"/>
          <w:szCs w:val="36"/>
        </w:rPr>
        <w:t xml:space="preserve"> </w:t>
      </w:r>
      <w:r>
        <w:rPr>
          <w:rFonts w:hint="eastAsia" w:ascii="宋体" w:hAnsi="宋体" w:eastAsia="宋体"/>
          <w:b/>
          <w:sz w:val="36"/>
          <w:szCs w:val="36"/>
        </w:rPr>
        <w:t>名词解释</w:t>
      </w:r>
    </w:p>
    <w:p w14:paraId="250156F3">
      <w:pPr>
        <w:pStyle w:val="2"/>
        <w:spacing w:line="600" w:lineRule="exact"/>
        <w:ind w:firstLine="0"/>
        <w:rPr>
          <w:szCs w:val="32"/>
        </w:rPr>
      </w:pPr>
      <w:r>
        <w:rPr>
          <w:rFonts w:hint="eastAsia"/>
          <w:szCs w:val="32"/>
        </w:rPr>
        <w:t xml:space="preserve">   </w:t>
      </w:r>
      <w:r>
        <w:rPr>
          <w:szCs w:val="32"/>
        </w:rPr>
        <w:t>1.</w:t>
      </w:r>
      <w:r>
        <w:rPr>
          <w:rFonts w:hint="eastAsia"/>
          <w:szCs w:val="32"/>
        </w:rPr>
        <w:t>财政拨款收入：指区级财政当年拨付的资金。</w:t>
      </w:r>
    </w:p>
    <w:p w14:paraId="651E0C8C">
      <w:pPr>
        <w:pStyle w:val="2"/>
        <w:spacing w:line="600" w:lineRule="exact"/>
        <w:rPr>
          <w:szCs w:val="32"/>
        </w:rPr>
      </w:pPr>
      <w:r>
        <w:rPr>
          <w:szCs w:val="32"/>
        </w:rPr>
        <w:t>2.</w:t>
      </w:r>
      <w:r>
        <w:rPr>
          <w:rFonts w:hint="eastAsia"/>
          <w:szCs w:val="32"/>
        </w:rPr>
        <w:t>基本支出：指保障机构正常运转、完成日常工作任务而发生的人员支出和公用支出。</w:t>
      </w:r>
    </w:p>
    <w:p w14:paraId="1825AB95">
      <w:pPr>
        <w:pStyle w:val="2"/>
        <w:spacing w:line="600" w:lineRule="exact"/>
        <w:rPr>
          <w:szCs w:val="32"/>
        </w:rPr>
      </w:pPr>
      <w:r>
        <w:rPr>
          <w:szCs w:val="32"/>
        </w:rPr>
        <w:t>3.</w:t>
      </w:r>
      <w:r>
        <w:rPr>
          <w:rFonts w:hint="eastAsia"/>
          <w:szCs w:val="32"/>
        </w:rPr>
        <w:t>项目支出：指在基本支出之外为完成特定行政任务和事业发展目标所发生的支出。</w:t>
      </w:r>
    </w:p>
    <w:p w14:paraId="6E21A2BC">
      <w:pPr>
        <w:pStyle w:val="2"/>
        <w:spacing w:line="600" w:lineRule="exact"/>
        <w:rPr>
          <w:szCs w:val="32"/>
        </w:rPr>
      </w:pPr>
      <w:r>
        <w:rPr>
          <w:szCs w:val="32"/>
        </w:rPr>
        <w:t>4.</w:t>
      </w:r>
      <w:r>
        <w:rPr>
          <w:rFonts w:hint="eastAsia"/>
          <w:szCs w:val="32"/>
        </w:rPr>
        <w:t>“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0F9A28E2">
      <w:pPr>
        <w:pStyle w:val="2"/>
        <w:spacing w:line="600" w:lineRule="exact"/>
        <w:rPr>
          <w:szCs w:val="32"/>
        </w:rPr>
      </w:pPr>
      <w:r>
        <w:rPr>
          <w:szCs w:val="32"/>
        </w:rPr>
        <w:t>5.</w:t>
      </w:r>
      <w:r>
        <w:rPr>
          <w:rFonts w:hint="eastAsia"/>
          <w:szCs w:val="32"/>
        </w:rPr>
        <w:t>公共安全支出（类）法院（款）行政运行（项）：反映行政单位（包括实行公务员管理的事业单位）的基本支出。</w:t>
      </w:r>
    </w:p>
    <w:p w14:paraId="047AEECB">
      <w:pPr>
        <w:pStyle w:val="2"/>
        <w:spacing w:line="600" w:lineRule="exact"/>
        <w:rPr>
          <w:szCs w:val="32"/>
        </w:rPr>
      </w:pPr>
      <w:r>
        <w:rPr>
          <w:szCs w:val="32"/>
        </w:rPr>
        <w:t>6.</w:t>
      </w:r>
      <w:r>
        <w:rPr>
          <w:rFonts w:hint="eastAsia"/>
          <w:szCs w:val="32"/>
        </w:rPr>
        <w:t>公共安全支出（类）法院（款）一般行政管理事务（项）：反映行政单位（包括实行公务员管理的事业单位）未单独设置项级科目的其他项目支出。</w:t>
      </w:r>
    </w:p>
    <w:p w14:paraId="544A46F7">
      <w:pPr>
        <w:pStyle w:val="2"/>
        <w:spacing w:line="600" w:lineRule="exact"/>
        <w:rPr>
          <w:szCs w:val="32"/>
        </w:rPr>
      </w:pPr>
      <w:r>
        <w:rPr>
          <w:szCs w:val="32"/>
        </w:rPr>
        <w:t>7.</w:t>
      </w:r>
      <w:r>
        <w:rPr>
          <w:rFonts w:hint="eastAsia"/>
          <w:szCs w:val="32"/>
        </w:rPr>
        <w:t>公共安全支出（类）法院（款）案件执行（项）：反映人民法院对刑事、民事、行政、涉外等案件执行活动和对各种非诉执行活动的支出。</w:t>
      </w:r>
    </w:p>
    <w:p w14:paraId="03BC98E7">
      <w:pPr>
        <w:pStyle w:val="2"/>
        <w:spacing w:line="600" w:lineRule="exact"/>
        <w:rPr>
          <w:szCs w:val="32"/>
        </w:rPr>
      </w:pPr>
      <w:r>
        <w:rPr>
          <w:szCs w:val="32"/>
        </w:rPr>
        <w:t>8.</w:t>
      </w:r>
      <w:r>
        <w:rPr>
          <w:rFonts w:hint="eastAsia"/>
          <w:szCs w:val="32"/>
        </w:rPr>
        <w:t>公共安全支出（类）法院（款）其他法院支出（项）：反映上述项目以外其他用于法院方面的支出。</w:t>
      </w:r>
    </w:p>
    <w:p w14:paraId="6CDD7426">
      <w:pPr>
        <w:pStyle w:val="2"/>
        <w:spacing w:line="600" w:lineRule="exact"/>
        <w:rPr>
          <w:szCs w:val="32"/>
        </w:rPr>
      </w:pPr>
      <w:r>
        <w:rPr>
          <w:szCs w:val="32"/>
        </w:rPr>
        <w:t>9</w:t>
      </w:r>
      <w:r>
        <w:rPr>
          <w:rFonts w:hint="eastAsia"/>
          <w:szCs w:val="32"/>
        </w:rPr>
        <w:t>．教育支出（类）进修及培训（款）培训支出（项）：反映各部门安排的用于培训的支出。教育部门的师资培训、党校、行政学院等专业干部教育机构的支出，以及退役士兵、转业士官的培训支出，不在本科目反映。</w:t>
      </w:r>
    </w:p>
    <w:p w14:paraId="1C8497E5">
      <w:pPr>
        <w:pStyle w:val="2"/>
        <w:spacing w:line="600" w:lineRule="exact"/>
        <w:rPr>
          <w:szCs w:val="32"/>
        </w:rPr>
      </w:pPr>
      <w:r>
        <w:rPr>
          <w:rFonts w:hint="eastAsia"/>
          <w:szCs w:val="32"/>
        </w:rPr>
        <w:t>10．社会保险基金支出（类）基本养老保险基金支出（款）基本养老金（项）：反映行政事业单位按人力资源和社会保障、财政部规定的基本工资和津贴补贴以及规定比例为职工缴纳的养老保险。</w:t>
      </w:r>
    </w:p>
    <w:p w14:paraId="08A08327">
      <w:pPr>
        <w:pStyle w:val="2"/>
        <w:spacing w:line="600" w:lineRule="exact"/>
        <w:rPr>
          <w:szCs w:val="32"/>
        </w:rPr>
      </w:pPr>
      <w:r>
        <w:rPr>
          <w:szCs w:val="32"/>
        </w:rPr>
        <w:t>1</w:t>
      </w:r>
      <w:r>
        <w:rPr>
          <w:rFonts w:hint="eastAsia"/>
          <w:szCs w:val="32"/>
        </w:rPr>
        <w:t>1</w:t>
      </w:r>
      <w:r>
        <w:rPr>
          <w:szCs w:val="32"/>
        </w:rPr>
        <w:t>.</w:t>
      </w:r>
      <w:r>
        <w:rPr>
          <w:rFonts w:hint="eastAsia"/>
          <w:szCs w:val="32"/>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272B29EF">
      <w:pPr>
        <w:pStyle w:val="2"/>
        <w:spacing w:line="600" w:lineRule="exact"/>
        <w:rPr>
          <w:b/>
          <w:sz w:val="36"/>
          <w:szCs w:val="36"/>
        </w:rPr>
      </w:pPr>
      <w:r>
        <w:rPr>
          <w:szCs w:val="32"/>
        </w:rPr>
        <w:t>1</w:t>
      </w:r>
      <w:r>
        <w:rPr>
          <w:rFonts w:hint="eastAsia"/>
          <w:szCs w:val="32"/>
        </w:rPr>
        <w:t>2</w:t>
      </w:r>
      <w:r>
        <w:rPr>
          <w:szCs w:val="32"/>
        </w:rPr>
        <w:t>.</w:t>
      </w:r>
      <w:r>
        <w:rPr>
          <w:rFonts w:hint="eastAsia"/>
          <w:szCs w:val="32"/>
        </w:rPr>
        <w:t>住房保障（类）住房改革（款）住房公积金（项）：反映行政事业单位按人力资源和社会保障、财政部规定的基本工资和津贴补贴以及规定比例为职工缴纳的住房公积金。</w:t>
      </w:r>
    </w:p>
    <w:p w14:paraId="6DF6DBB1">
      <w:pPr>
        <w:pStyle w:val="2"/>
        <w:spacing w:line="600" w:lineRule="exact"/>
        <w:ind w:firstLine="630" w:firstLineChars="196"/>
        <w:rPr>
          <w:rFonts w:ascii="黑体" w:hAnsi="宋体" w:eastAsia="黑体"/>
          <w:b/>
          <w:szCs w:val="32"/>
        </w:rPr>
      </w:pPr>
    </w:p>
    <w:p w14:paraId="3C561508">
      <w:pPr>
        <w:pStyle w:val="2"/>
        <w:spacing w:line="600" w:lineRule="exact"/>
        <w:ind w:firstLine="0"/>
        <w:rPr>
          <w:b/>
          <w:szCs w:val="32"/>
        </w:rPr>
      </w:pPr>
    </w:p>
    <w:p w14:paraId="62307B5F">
      <w:pPr>
        <w:pStyle w:val="2"/>
        <w:spacing w:line="600" w:lineRule="exact"/>
        <w:ind w:firstLine="0"/>
        <w:rPr>
          <w:b/>
          <w:szCs w:val="32"/>
        </w:rPr>
      </w:pPr>
    </w:p>
    <w:p w14:paraId="20AC3D74">
      <w:pPr>
        <w:pStyle w:val="2"/>
        <w:spacing w:line="600" w:lineRule="exact"/>
        <w:ind w:firstLine="5923" w:firstLineChars="1851"/>
        <w:jc w:val="right"/>
        <w:rPr>
          <w:szCs w:val="32"/>
        </w:rPr>
      </w:pPr>
    </w:p>
    <w:sectPr>
      <w:pgSz w:w="11906" w:h="16838"/>
      <w:pgMar w:top="2098" w:right="1361" w:bottom="1928" w:left="1361"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roman"/>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3E79F">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5</w:t>
    </w:r>
    <w:r>
      <w:fldChar w:fldCharType="end"/>
    </w:r>
  </w:p>
  <w:p w14:paraId="15578B61">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37ACE">
    <w:pPr>
      <w:pStyle w:val="5"/>
      <w:framePr w:wrap="around" w:vAnchor="text" w:hAnchor="margin" w:xAlign="right" w:y="1"/>
      <w:rPr>
        <w:rStyle w:val="9"/>
      </w:rPr>
    </w:pPr>
    <w:r>
      <w:fldChar w:fldCharType="begin"/>
    </w:r>
    <w:r>
      <w:rPr>
        <w:rStyle w:val="9"/>
      </w:rPr>
      <w:instrText xml:space="preserve">PAGE  </w:instrText>
    </w:r>
    <w:r>
      <w:fldChar w:fldCharType="end"/>
    </w:r>
  </w:p>
  <w:p w14:paraId="4775DE38">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B904C">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39035F"/>
    <w:multiLevelType w:val="multilevel"/>
    <w:tmpl w:val="3D39035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U4MjA1YmYwYTU4ZGNjMDQzNDk1NjU1ZDMzNDQ2YWYifQ=="/>
  </w:docVars>
  <w:rsids>
    <w:rsidRoot w:val="00172A27"/>
    <w:rsid w:val="00023DFB"/>
    <w:rsid w:val="0002454D"/>
    <w:rsid w:val="00025BD9"/>
    <w:rsid w:val="00043EEB"/>
    <w:rsid w:val="00067A17"/>
    <w:rsid w:val="00094BCF"/>
    <w:rsid w:val="000A1CA9"/>
    <w:rsid w:val="000C7BCC"/>
    <w:rsid w:val="000C7EB7"/>
    <w:rsid w:val="000E1D59"/>
    <w:rsid w:val="000E5E20"/>
    <w:rsid w:val="00106E3E"/>
    <w:rsid w:val="00122FF4"/>
    <w:rsid w:val="001314EE"/>
    <w:rsid w:val="00146AA6"/>
    <w:rsid w:val="001522AB"/>
    <w:rsid w:val="001561F9"/>
    <w:rsid w:val="0016584F"/>
    <w:rsid w:val="00172A27"/>
    <w:rsid w:val="001759DB"/>
    <w:rsid w:val="00175D25"/>
    <w:rsid w:val="0018735A"/>
    <w:rsid w:val="001913D6"/>
    <w:rsid w:val="00193BE5"/>
    <w:rsid w:val="00194EC8"/>
    <w:rsid w:val="001A14C9"/>
    <w:rsid w:val="001B38F8"/>
    <w:rsid w:val="001B517F"/>
    <w:rsid w:val="001C35A8"/>
    <w:rsid w:val="001E3C7C"/>
    <w:rsid w:val="001E5911"/>
    <w:rsid w:val="001F0FE0"/>
    <w:rsid w:val="00216942"/>
    <w:rsid w:val="0022062D"/>
    <w:rsid w:val="00241EE9"/>
    <w:rsid w:val="002521D5"/>
    <w:rsid w:val="00256283"/>
    <w:rsid w:val="00272C2B"/>
    <w:rsid w:val="002731C5"/>
    <w:rsid w:val="002915FC"/>
    <w:rsid w:val="002A4846"/>
    <w:rsid w:val="002A5A46"/>
    <w:rsid w:val="002A778E"/>
    <w:rsid w:val="002B0196"/>
    <w:rsid w:val="002B7093"/>
    <w:rsid w:val="002C006A"/>
    <w:rsid w:val="002C085B"/>
    <w:rsid w:val="002E0553"/>
    <w:rsid w:val="002F7937"/>
    <w:rsid w:val="00310ABA"/>
    <w:rsid w:val="00316C65"/>
    <w:rsid w:val="00322A43"/>
    <w:rsid w:val="00322E8D"/>
    <w:rsid w:val="003238C6"/>
    <w:rsid w:val="00332912"/>
    <w:rsid w:val="00337271"/>
    <w:rsid w:val="00340745"/>
    <w:rsid w:val="00344B99"/>
    <w:rsid w:val="003471E5"/>
    <w:rsid w:val="00352FE6"/>
    <w:rsid w:val="00361801"/>
    <w:rsid w:val="00375881"/>
    <w:rsid w:val="00376940"/>
    <w:rsid w:val="00394F19"/>
    <w:rsid w:val="003A5B53"/>
    <w:rsid w:val="003B4989"/>
    <w:rsid w:val="003B7AE2"/>
    <w:rsid w:val="003D15CE"/>
    <w:rsid w:val="003D1C0E"/>
    <w:rsid w:val="003E0668"/>
    <w:rsid w:val="00405AAD"/>
    <w:rsid w:val="004102E1"/>
    <w:rsid w:val="00410CDE"/>
    <w:rsid w:val="00412468"/>
    <w:rsid w:val="004546B3"/>
    <w:rsid w:val="00456D86"/>
    <w:rsid w:val="00457D61"/>
    <w:rsid w:val="0046559D"/>
    <w:rsid w:val="00467059"/>
    <w:rsid w:val="0047556C"/>
    <w:rsid w:val="00480B96"/>
    <w:rsid w:val="00490F26"/>
    <w:rsid w:val="004A5B82"/>
    <w:rsid w:val="004C61F6"/>
    <w:rsid w:val="004E5636"/>
    <w:rsid w:val="004E650D"/>
    <w:rsid w:val="004F74FE"/>
    <w:rsid w:val="00511499"/>
    <w:rsid w:val="00515B10"/>
    <w:rsid w:val="00535A7C"/>
    <w:rsid w:val="005411AC"/>
    <w:rsid w:val="0054326E"/>
    <w:rsid w:val="00550B92"/>
    <w:rsid w:val="00587950"/>
    <w:rsid w:val="005B3985"/>
    <w:rsid w:val="005C48C2"/>
    <w:rsid w:val="005D09D2"/>
    <w:rsid w:val="005D353C"/>
    <w:rsid w:val="005E439F"/>
    <w:rsid w:val="005E6EF7"/>
    <w:rsid w:val="005F70DE"/>
    <w:rsid w:val="00602193"/>
    <w:rsid w:val="0060753E"/>
    <w:rsid w:val="00624287"/>
    <w:rsid w:val="00636E0E"/>
    <w:rsid w:val="00644F06"/>
    <w:rsid w:val="00660CFA"/>
    <w:rsid w:val="00690F4C"/>
    <w:rsid w:val="00691C8A"/>
    <w:rsid w:val="006955E1"/>
    <w:rsid w:val="006A6A32"/>
    <w:rsid w:val="006B14D9"/>
    <w:rsid w:val="006B1E46"/>
    <w:rsid w:val="006B719E"/>
    <w:rsid w:val="006D70D9"/>
    <w:rsid w:val="006E3CC0"/>
    <w:rsid w:val="007075EB"/>
    <w:rsid w:val="00716F01"/>
    <w:rsid w:val="00721B60"/>
    <w:rsid w:val="007270B1"/>
    <w:rsid w:val="00727210"/>
    <w:rsid w:val="007606BE"/>
    <w:rsid w:val="00762CB8"/>
    <w:rsid w:val="007710FA"/>
    <w:rsid w:val="00772877"/>
    <w:rsid w:val="00774643"/>
    <w:rsid w:val="007979DA"/>
    <w:rsid w:val="007A468A"/>
    <w:rsid w:val="007B4700"/>
    <w:rsid w:val="007B699A"/>
    <w:rsid w:val="007B7F93"/>
    <w:rsid w:val="007C47F1"/>
    <w:rsid w:val="007D172B"/>
    <w:rsid w:val="007F1FAF"/>
    <w:rsid w:val="00802605"/>
    <w:rsid w:val="0082447B"/>
    <w:rsid w:val="00842736"/>
    <w:rsid w:val="0086188E"/>
    <w:rsid w:val="00882155"/>
    <w:rsid w:val="00885285"/>
    <w:rsid w:val="00887307"/>
    <w:rsid w:val="00887CE1"/>
    <w:rsid w:val="008B44AC"/>
    <w:rsid w:val="008C2F8B"/>
    <w:rsid w:val="008D5080"/>
    <w:rsid w:val="008E1298"/>
    <w:rsid w:val="008E7D90"/>
    <w:rsid w:val="008F3FE4"/>
    <w:rsid w:val="00903E8C"/>
    <w:rsid w:val="0090610B"/>
    <w:rsid w:val="00913C0D"/>
    <w:rsid w:val="0092027A"/>
    <w:rsid w:val="00930FBA"/>
    <w:rsid w:val="00977247"/>
    <w:rsid w:val="009831FF"/>
    <w:rsid w:val="00997570"/>
    <w:rsid w:val="009A49B1"/>
    <w:rsid w:val="009B65E6"/>
    <w:rsid w:val="009B6A31"/>
    <w:rsid w:val="009D2227"/>
    <w:rsid w:val="009D3EDF"/>
    <w:rsid w:val="009E0475"/>
    <w:rsid w:val="009F06B1"/>
    <w:rsid w:val="009F3C60"/>
    <w:rsid w:val="009F7651"/>
    <w:rsid w:val="00A04B99"/>
    <w:rsid w:val="00A2145A"/>
    <w:rsid w:val="00A22406"/>
    <w:rsid w:val="00A41362"/>
    <w:rsid w:val="00A60A24"/>
    <w:rsid w:val="00A63646"/>
    <w:rsid w:val="00A6714F"/>
    <w:rsid w:val="00A74B07"/>
    <w:rsid w:val="00A76C07"/>
    <w:rsid w:val="00A92106"/>
    <w:rsid w:val="00A94675"/>
    <w:rsid w:val="00AB1BDB"/>
    <w:rsid w:val="00AD1ABA"/>
    <w:rsid w:val="00AD29BD"/>
    <w:rsid w:val="00AF2BE8"/>
    <w:rsid w:val="00B02B30"/>
    <w:rsid w:val="00B2451E"/>
    <w:rsid w:val="00B36A4C"/>
    <w:rsid w:val="00B40BDD"/>
    <w:rsid w:val="00B42F7E"/>
    <w:rsid w:val="00B52230"/>
    <w:rsid w:val="00B55537"/>
    <w:rsid w:val="00B720E8"/>
    <w:rsid w:val="00B74378"/>
    <w:rsid w:val="00B868AB"/>
    <w:rsid w:val="00B941BA"/>
    <w:rsid w:val="00BA304F"/>
    <w:rsid w:val="00BB0F74"/>
    <w:rsid w:val="00BB1DD9"/>
    <w:rsid w:val="00BB7C7E"/>
    <w:rsid w:val="00BD482C"/>
    <w:rsid w:val="00BD5922"/>
    <w:rsid w:val="00BF6E5A"/>
    <w:rsid w:val="00BF7DBA"/>
    <w:rsid w:val="00C2119B"/>
    <w:rsid w:val="00C2431A"/>
    <w:rsid w:val="00C34DC0"/>
    <w:rsid w:val="00C447E5"/>
    <w:rsid w:val="00C54958"/>
    <w:rsid w:val="00C57068"/>
    <w:rsid w:val="00C57AA9"/>
    <w:rsid w:val="00C6755D"/>
    <w:rsid w:val="00C8537B"/>
    <w:rsid w:val="00C92912"/>
    <w:rsid w:val="00CA5268"/>
    <w:rsid w:val="00CB2F5F"/>
    <w:rsid w:val="00CB74A0"/>
    <w:rsid w:val="00CD64D8"/>
    <w:rsid w:val="00D027FA"/>
    <w:rsid w:val="00D02D7B"/>
    <w:rsid w:val="00D15975"/>
    <w:rsid w:val="00D169B4"/>
    <w:rsid w:val="00D200E8"/>
    <w:rsid w:val="00D25EED"/>
    <w:rsid w:val="00D40C4C"/>
    <w:rsid w:val="00D41BA3"/>
    <w:rsid w:val="00D56683"/>
    <w:rsid w:val="00D67793"/>
    <w:rsid w:val="00D727D8"/>
    <w:rsid w:val="00D728FE"/>
    <w:rsid w:val="00D9627F"/>
    <w:rsid w:val="00DC6D2C"/>
    <w:rsid w:val="00DE2131"/>
    <w:rsid w:val="00DE6A93"/>
    <w:rsid w:val="00DF51F7"/>
    <w:rsid w:val="00E00ABF"/>
    <w:rsid w:val="00E01061"/>
    <w:rsid w:val="00E02931"/>
    <w:rsid w:val="00E05AA4"/>
    <w:rsid w:val="00E37929"/>
    <w:rsid w:val="00E41767"/>
    <w:rsid w:val="00E41B55"/>
    <w:rsid w:val="00E44C7D"/>
    <w:rsid w:val="00E45B29"/>
    <w:rsid w:val="00E477FF"/>
    <w:rsid w:val="00E52789"/>
    <w:rsid w:val="00E73344"/>
    <w:rsid w:val="00E819CB"/>
    <w:rsid w:val="00E949CD"/>
    <w:rsid w:val="00EA7F46"/>
    <w:rsid w:val="00EB3E30"/>
    <w:rsid w:val="00EB4DF2"/>
    <w:rsid w:val="00EC7478"/>
    <w:rsid w:val="00ED5584"/>
    <w:rsid w:val="00EE4742"/>
    <w:rsid w:val="00EE4BD0"/>
    <w:rsid w:val="00F13601"/>
    <w:rsid w:val="00F1768F"/>
    <w:rsid w:val="00F25709"/>
    <w:rsid w:val="00F30839"/>
    <w:rsid w:val="00F31CA1"/>
    <w:rsid w:val="00F62A4F"/>
    <w:rsid w:val="00F65E48"/>
    <w:rsid w:val="00F67D7B"/>
    <w:rsid w:val="00FA6B9B"/>
    <w:rsid w:val="00FB024F"/>
    <w:rsid w:val="00FB0B06"/>
    <w:rsid w:val="00FB1001"/>
    <w:rsid w:val="00FB5D04"/>
    <w:rsid w:val="00FC0BBB"/>
    <w:rsid w:val="00FC3D2C"/>
    <w:rsid w:val="00FD0D5A"/>
    <w:rsid w:val="00FD7FAB"/>
    <w:rsid w:val="00FF0B4F"/>
    <w:rsid w:val="02322084"/>
    <w:rsid w:val="1BEC58D4"/>
    <w:rsid w:val="381621CC"/>
    <w:rsid w:val="402412F2"/>
    <w:rsid w:val="502A05FF"/>
    <w:rsid w:val="50A5242D"/>
    <w:rsid w:val="55257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spacing w:line="540" w:lineRule="exact"/>
      <w:ind w:firstLine="525"/>
    </w:pPr>
    <w:rPr>
      <w:rFonts w:ascii="仿宋_GB2312" w:eastAsia="仿宋_GB2312"/>
      <w:sz w:val="32"/>
    </w:rPr>
  </w:style>
  <w:style w:type="paragraph" w:styleId="3">
    <w:name w:val="Body Text Indent 2"/>
    <w:basedOn w:val="1"/>
    <w:qFormat/>
    <w:uiPriority w:val="0"/>
    <w:pPr>
      <w:spacing w:line="540" w:lineRule="exact"/>
      <w:ind w:firstLine="420"/>
    </w:pPr>
    <w:rPr>
      <w:rFonts w:ascii="仿宋_GB2312" w:eastAsia="仿宋_GB2312"/>
      <w:sz w:val="32"/>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qFormat/>
    <w:uiPriority w:val="0"/>
  </w:style>
  <w:style w:type="paragraph" w:customStyle="1" w:styleId="10">
    <w:name w:val="列出段落1"/>
    <w:basedOn w:val="1"/>
    <w:qFormat/>
    <w:uiPriority w:val="0"/>
    <w:pPr>
      <w:ind w:firstLine="420" w:firstLineChars="200"/>
    </w:pPr>
  </w:style>
  <w:style w:type="paragraph" w:customStyle="1" w:styleId="11">
    <w:name w:val="正文文本缩进1"/>
    <w:basedOn w:val="1"/>
    <w:qFormat/>
    <w:uiPriority w:val="0"/>
    <w:pPr>
      <w:spacing w:line="540" w:lineRule="exact"/>
      <w:ind w:firstLine="525"/>
    </w:pPr>
    <w:rPr>
      <w:rFonts w:ascii="仿宋_GB2312" w:eastAsia="仿宋_GB2312"/>
      <w:sz w:val="32"/>
    </w:rPr>
  </w:style>
  <w:style w:type="character" w:customStyle="1" w:styleId="12">
    <w:name w:val="正文文本缩进 Char"/>
    <w:basedOn w:val="8"/>
    <w:link w:val="2"/>
    <w:semiHidden/>
    <w:qFormat/>
    <w:locked/>
    <w:uiPriority w:val="0"/>
    <w:rPr>
      <w:rFonts w:ascii="仿宋_GB2312" w:eastAsia="仿宋_GB2312"/>
      <w:kern w:val="2"/>
      <w:sz w:val="32"/>
      <w:szCs w:val="24"/>
      <w:lang w:val="en-US" w:eastAsia="zh-CN" w:bidi="ar-SA"/>
    </w:rPr>
  </w:style>
  <w:style w:type="paragraph" w:customStyle="1" w:styleId="13">
    <w:name w:val="Char Char1"/>
    <w:basedOn w:val="1"/>
    <w:qFormat/>
    <w:uiPriority w:val="0"/>
    <w:pPr>
      <w:widowControl/>
      <w:jc w:val="left"/>
    </w:pPr>
    <w:rPr>
      <w:rFonts w:ascii="Verdana" w:hAnsi="Verdana" w:eastAsia="仿宋_GB2312"/>
      <w:kern w:val="0"/>
      <w:sz w:val="28"/>
      <w:szCs w:val="20"/>
      <w:lang w:eastAsia="en-US"/>
    </w:rPr>
  </w:style>
  <w:style w:type="paragraph" w:customStyle="1" w:styleId="14">
    <w:name w:val="Char Char11"/>
    <w:basedOn w:val="1"/>
    <w:qFormat/>
    <w:uiPriority w:val="0"/>
    <w:pPr>
      <w:widowControl/>
      <w:jc w:val="left"/>
    </w:pPr>
    <w:rPr>
      <w:rFonts w:ascii="Verdana" w:hAnsi="Verdana" w:eastAsia="仿宋_GB2312"/>
      <w:kern w:val="0"/>
      <w:sz w:val="28"/>
      <w:szCs w:val="20"/>
      <w:lang w:eastAsia="en-US"/>
    </w:rPr>
  </w:style>
  <w:style w:type="paragraph" w:customStyle="1" w:styleId="15">
    <w:name w:val="Char Char12"/>
    <w:basedOn w:val="1"/>
    <w:qFormat/>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7364A-9152-4166-9CA1-A6DE1201484E}">
  <ds:schemaRefs/>
</ds:datastoreItem>
</file>

<file path=docProps/app.xml><?xml version="1.0" encoding="utf-8"?>
<Properties xmlns="http://schemas.openxmlformats.org/officeDocument/2006/extended-properties" xmlns:vt="http://schemas.openxmlformats.org/officeDocument/2006/docPropsVTypes">
  <Template>Normal</Template>
  <Pages>9</Pages>
  <Words>2390</Words>
  <Characters>2550</Characters>
  <Lines>18</Lines>
  <Paragraphs>5</Paragraphs>
  <TotalTime>1</TotalTime>
  <ScaleCrop>false</ScaleCrop>
  <LinksUpToDate>false</LinksUpToDate>
  <CharactersWithSpaces>2587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2019-01-25T01:14:00Z</dcterms:created>
  <dc:creator>微软用户</dc:creator>
  <cp:lastModifiedBy>杨洋</cp:lastModifiedBy>
  <cp:lastPrinted>2016-02-19T02:52:00Z</cp:lastPrinted>
  <dcterms:modified xsi:type="dcterms:W3CDTF">2025-09-24T08:13:50Z</dcterms:modified>
  <dc:title>风雨坛街道办事处</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484EB4FD9B014586AA22DB683C49880B</vt:lpwstr>
  </property>
  <property fmtid="{D5CDD505-2E9C-101B-9397-08002B2CF9AE}" pid="4" name="KSOTemplateDocerSaveRecord">
    <vt:lpwstr>eyJoZGlkIjoiNzZiZTQ3ZmI1OTFmODUzNzgwMGRlNDBmMWZiZDQzMjEiLCJ1c2VySWQiOiIyMzQ0MjI2NjQifQ==</vt:lpwstr>
  </property>
</Properties>
</file>